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color w:val="000000" w:themeColor="text1"/>
          <w:sz w:val="26"/>
          <w:szCs w:val="26"/>
        </w:rPr>
      </w:pPr>
      <w:r>
        <w:rPr>
          <w:rFonts w:cs="Times New Roman" w:ascii="Arial Narrow" w:hAnsi="Arial Narrow"/>
          <w:b/>
          <w:color w:val="000000" w:themeColor="text1"/>
          <w:sz w:val="26"/>
          <w:szCs w:val="26"/>
        </w:rPr>
        <w:t xml:space="preserve">UMOWA UCZESTNICTWA W PROGRAMIE 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b/>
          <w:b/>
          <w:color w:val="000000" w:themeColor="text1"/>
          <w:sz w:val="26"/>
          <w:szCs w:val="26"/>
        </w:rPr>
      </w:pPr>
      <w:r>
        <w:rPr>
          <w:rFonts w:cs="Times New Roman" w:ascii="Arial Narrow" w:hAnsi="Arial Narrow"/>
          <w:b/>
          <w:color w:val="000000" w:themeColor="text1"/>
          <w:sz w:val="26"/>
          <w:szCs w:val="26"/>
        </w:rPr>
        <w:t>„</w:t>
      </w:r>
      <w:r>
        <w:rPr>
          <w:rFonts w:cs="Times New Roman" w:ascii="Arial Narrow" w:hAnsi="Arial Narrow"/>
          <w:b/>
          <w:color w:val="000000" w:themeColor="text1"/>
          <w:sz w:val="26"/>
          <w:szCs w:val="26"/>
        </w:rPr>
        <w:t xml:space="preserve">KORPUS </w:t>
      </w:r>
      <w:r>
        <w:rPr>
          <w:rFonts w:eastAsia="Calibri" w:cs="Times New Roman" w:ascii="Arial Narrow" w:hAnsi="Arial Narrow"/>
          <w:b/>
          <w:color w:val="000000" w:themeColor="text1"/>
          <w:kern w:val="0"/>
          <w:sz w:val="26"/>
          <w:szCs w:val="26"/>
          <w:lang w:val="pl-PL" w:eastAsia="en-US" w:bidi="ar-SA"/>
        </w:rPr>
        <w:t xml:space="preserve">WSPARCIA </w:t>
      </w:r>
      <w:r>
        <w:rPr>
          <w:rFonts w:cs="Times New Roman" w:ascii="Arial Narrow" w:hAnsi="Arial Narrow"/>
          <w:b/>
          <w:color w:val="000000" w:themeColor="text1"/>
          <w:sz w:val="26"/>
          <w:szCs w:val="26"/>
        </w:rPr>
        <w:t xml:space="preserve">SENIORÓW” – USŁUGA TELEOPIEKI 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color w:val="000000" w:themeColor="text1"/>
          <w:sz w:val="26"/>
          <w:szCs w:val="26"/>
        </w:rPr>
      </w:pPr>
      <w:r>
        <w:rPr>
          <w:rFonts w:cs="Times New Roman" w:ascii="Arial Narrow" w:hAnsi="Arial Narrow"/>
          <w:color w:val="000000" w:themeColor="text1"/>
          <w:sz w:val="26"/>
          <w:szCs w:val="26"/>
        </w:rPr>
        <w:t>zawarta w ………… w dniu ………………………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 New Roman"/>
          <w:color w:val="000000" w:themeColor="text1"/>
          <w:sz w:val="26"/>
          <w:szCs w:val="26"/>
        </w:rPr>
      </w:pPr>
      <w:r>
        <w:rPr>
          <w:rFonts w:cs="Times New Roman" w:ascii="Arial Narrow" w:hAnsi="Arial Narrow"/>
          <w:color w:val="000000" w:themeColor="text1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pomiędzy 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Articlebodyblock"/>
        <w:spacing w:beforeAutospacing="0" w:before="0" w:afterAutospacing="0" w:after="0"/>
        <w:jc w:val="both"/>
        <w:rPr>
          <w:rFonts w:ascii="Arial Narrow" w:hAnsi="Arial Narrow"/>
          <w:sz w:val="22"/>
          <w:szCs w:val="22"/>
        </w:rPr>
      </w:pPr>
      <w:r>
        <w:rPr>
          <w:rFonts w:eastAsia="Times New Roman" w:cs="Times New Roman" w:ascii="Arial Narrow" w:hAnsi="Arial Narrow"/>
          <w:b/>
          <w:sz w:val="22"/>
          <w:szCs w:val="22"/>
          <w:lang w:eastAsia="pl-PL"/>
        </w:rPr>
        <w:t>Miastem Kalisz</w:t>
      </w:r>
      <w:r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 siedzibą w Kaliszu, ul. Główny Rynek 20, </w:t>
      </w:r>
      <w:r>
        <w:rPr>
          <w:rFonts w:eastAsia="Times New Roman" w:cs="Times New Roman" w:ascii="Arial Narrow" w:hAnsi="Arial Narrow"/>
          <w:sz w:val="22"/>
          <w:szCs w:val="22"/>
          <w:lang w:eastAsia="pl-PL"/>
        </w:rPr>
        <w:t>62-800 Kalisz</w:t>
      </w:r>
      <w:r>
        <w:rPr>
          <w:rFonts w:ascii="Arial Narrow" w:hAnsi="Arial Narrow"/>
          <w:sz w:val="22"/>
          <w:szCs w:val="22"/>
        </w:rPr>
        <w:t>, NIP (</w:t>
      </w:r>
      <w:r>
        <w:rPr>
          <w:rFonts w:eastAsia="Times New Roman" w:cs="Times New Roman" w:ascii="Arial Narrow" w:hAnsi="Arial Narrow"/>
          <w:sz w:val="22"/>
          <w:szCs w:val="22"/>
          <w:lang w:eastAsia="pl-PL"/>
        </w:rPr>
        <w:t>618-001-59-33</w:t>
      </w:r>
      <w:r>
        <w:rPr>
          <w:rFonts w:ascii="Arial Narrow" w:hAnsi="Arial Narrow"/>
          <w:sz w:val="22"/>
          <w:szCs w:val="22"/>
        </w:rPr>
        <w:t xml:space="preserve">), REGON (250855877), reprezentowaną przez Pana Krystiana Kinastowskiego – Prezydenta Miasta Kalisza, w imieniu którego działa Iwona Niedźwiedź – Dyrektor Miejskiego Ośrodka Pomocy Społecznej w Kaliszu na podstawie pełnomocnictwa nr WO.0052.0258.2022 z dnia 16 maja 2022r.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</w:rPr>
        <w:t xml:space="preserve">- zwaną dalej </w:t>
      </w:r>
      <w:r>
        <w:rPr>
          <w:rFonts w:cs="Times New Roman" w:ascii="Arial Narrow" w:hAnsi="Arial Narrow"/>
          <w:b/>
        </w:rPr>
        <w:t>Miastem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a 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Panią/Panem …………………………………………..…………………………………..……(imię i nazwisko),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zamieszkałą/ym w …..……………………..………….. (miasto), …………………. (kod pocztowy), 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ul. ………………………………………………………………………………………………………………………….……,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PESEL ………………………………, nr tel. ………………………………., e-mail:/jeśli dotyczy/: ………….…………..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- zwaną/ym dalej </w:t>
      </w:r>
      <w:r>
        <w:rPr>
          <w:rFonts w:cs="Times New Roman" w:ascii="Arial Narrow" w:hAnsi="Arial Narrow"/>
          <w:b/>
          <w:color w:val="000000" w:themeColor="text1"/>
        </w:rPr>
        <w:t>„Odbiorcą”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hanging="357"/>
        <w:contextualSpacing/>
        <w:jc w:val="center"/>
        <w:rPr>
          <w:rFonts w:ascii="Arial Narrow" w:hAnsi="Arial Narrow" w:cs="Times New Roman"/>
          <w:b/>
          <w:b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  <w:t>Przedmiot umowy</w:t>
      </w:r>
    </w:p>
    <w:p>
      <w:pPr>
        <w:pStyle w:val="ListParagraph"/>
        <w:spacing w:lineRule="auto" w:line="240" w:before="0" w:after="0"/>
        <w:ind w:left="357" w:hanging="0"/>
        <w:contextualSpacing/>
        <w:rPr>
          <w:rFonts w:ascii="Arial Narrow" w:hAnsi="Arial Narrow" w:cs="Times New Roman"/>
          <w:b/>
          <w:b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Przedmiotem niniejszej umowy jest udzielenie Odbiorcy przez Miasto wsparcia w ramach udziału w Programie pn</w:t>
      </w:r>
      <w:r>
        <w:rPr>
          <w:rFonts w:cs="Arial" w:ascii="Arial Narrow" w:hAnsi="Arial Narrow"/>
          <w:color w:val="000000" w:themeColor="text1"/>
        </w:rPr>
        <w:t>. „Korpus Wsparcia Seniorów” – usługa Teleopieki, zwanym dalej Programem.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cs="Arial" w:ascii="Arial Narrow" w:hAnsi="Arial Narrow"/>
          <w:color w:val="000000" w:themeColor="text1"/>
        </w:rPr>
        <w:t xml:space="preserve">Program </w:t>
      </w:r>
      <w:r>
        <w:rPr>
          <w:rFonts w:cs="Arial" w:ascii="Arial Narrow" w:hAnsi="Arial Narrow"/>
        </w:rPr>
        <w:t xml:space="preserve">w zakresie usługi Teleopieki jest realizowany na podstawie umowy zawartej pomiędzy Miastem a HRP Care Sp. z o.o. jako dostawcą usługi, Regulaminu Programu oraz niniejszej umowy.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Wsparcie zostanie udzielone Odbiorcy w następujących formach: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Udostepnienie Teleopaski: Teleopaska to urządzenie elektroniczne, zakładane na nadgarstek wyposażone w kartę SIM, adapter i kabel zasilający,  z możliwością połączenia głosowego z Centrum Teleopieki, pozwalające na monitorowanie funkcji życiowych, wyposażone m.in. w przycisk SOS (alarmowy) i posiadające również funkcje pomiaru temperatury, ciśnienia, pulsu oraz lokalizacji jej użytkownika.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Dostęp do systemu informatycznego Teleopieki: Teleopaska umożliwia kontakt z ratownictwem medycznym w przypadku potrzebnej pomocy 24 godziny/dobę w sytuacji nagłego pogorszenia samopoczucia, czy zachorowania Odbiorcy. Po naciśnięciu przycisku SOS  Teleopaska łączy się z numerem Centrum Teleopieki, który udziela adekwatnej do sytuacji oraz możliwości pomocy w tym m.in. informuje wskazane osoby do kontaktu o potrzebie udzielenia pomocy lub/ i kontaktuje się z samym Odbiorcą poprzez Teleopaskę.  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Opieka Centrum Teleopieki:  Centrum Teleopieki działa 24 godziny na dobę przez 7 dni w tygodniu, monitorując zdarzenia dotyczące Odbiorcy, w tym aktywności SOS, alerty dotyczące monitorowanych parametrów i podstępujących zgodnie z przyjętymi procedurami alarmowymi.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Wsparcie Centrum technicznego Teleopieki: dostępne pod numerem telefonu 690815100 w godzinach 8-14 w dni robocze. Pod podanym numerem telefonu można zgłaszać problemy z użytkowaniem Opaski, nie wynikające z awarii czy usterek. </w:t>
      </w:r>
    </w:p>
    <w:p>
      <w:pPr>
        <w:pStyle w:val="ListParagraph"/>
        <w:spacing w:lineRule="auto" w:line="240" w:before="0" w:after="0"/>
        <w:ind w:left="1224" w:hanging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hanging="357"/>
        <w:contextualSpacing/>
        <w:jc w:val="center"/>
        <w:rPr>
          <w:rFonts w:ascii="Arial Narrow" w:hAnsi="Arial Narrow" w:cs="Times New Roman"/>
          <w:b/>
          <w:b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  <w:t>Warunki korzystania ze wsparcia</w:t>
      </w:r>
    </w:p>
    <w:p>
      <w:pPr>
        <w:pStyle w:val="ListParagraph"/>
        <w:spacing w:lineRule="auto" w:line="240" w:before="0" w:after="0"/>
        <w:ind w:left="357" w:hanging="0"/>
        <w:contextualSpacing/>
        <w:rPr>
          <w:rFonts w:ascii="Arial Narrow" w:hAnsi="Arial Narrow" w:cs="Times New Roman"/>
          <w:b/>
          <w:b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Odbiorca oświadcza, iż został pouczony o odpowiedzialności za składania niezgodnych z prawdą oświadczeń i potwierdza, że dane przedstawione w formularzu zgłoszeniowym udziału w Programie pozostają zgodne z prawdą i aktualne.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Udział w Programie jest bezpłatny, tj. od Odbiorcy nie są pobierane żadne opłaty z tytułu udziału w Programie i korzystania z oferowanych w Programie form wsparcia, pod warunkiem spełnienia przez Odbiorcę wsparcia warunków opisanych w umowie.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Wskazane w §1 umowy wsparcie będzie świadczone przez okres realizacji Programu.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hanging="357"/>
        <w:contextualSpacing/>
        <w:jc w:val="center"/>
        <w:rPr>
          <w:rFonts w:ascii="Arial Narrow" w:hAnsi="Arial Narrow" w:cs="Times New Roman"/>
          <w:b/>
          <w:b/>
          <w:bCs/>
          <w:color w:val="000000" w:themeColor="text1"/>
        </w:rPr>
      </w:pPr>
      <w:r>
        <w:rPr>
          <w:rFonts w:cs="Times New Roman" w:ascii="Arial Narrow" w:hAnsi="Arial Narrow"/>
          <w:b/>
          <w:bCs/>
          <w:color w:val="000000" w:themeColor="text1"/>
        </w:rPr>
        <w:t>Teleopaska</w:t>
      </w:r>
    </w:p>
    <w:p>
      <w:pPr>
        <w:pStyle w:val="ListParagraph"/>
        <w:spacing w:lineRule="auto" w:line="240" w:before="0" w:after="0"/>
        <w:ind w:left="357" w:hanging="0"/>
        <w:contextualSpacing/>
        <w:rPr>
          <w:rFonts w:ascii="Arial Narrow" w:hAnsi="Arial Narrow" w:cs="Times New Roman"/>
          <w:b/>
          <w:b/>
          <w:bCs/>
          <w:color w:val="000000" w:themeColor="text1"/>
        </w:rPr>
      </w:pPr>
      <w:r>
        <w:rPr>
          <w:rFonts w:cs="Times New Roman" w:ascii="Arial Narrow" w:hAnsi="Arial Narrow"/>
          <w:b/>
          <w:bCs/>
          <w:color w:val="000000" w:themeColor="text1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Odbiorca zobowiązuje się do: 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dbania o powierzoną  Teleopaskę, w tym w szczególności do nie wystawiania Teleopaski na działanie otwartego ognia, działanie wysokich lub ujemnych temperatur, długotrwałe działanie promieni słonecznych. 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nieotwierania i nie rozkręcania obudowy i nieusuwania/niewyciągania samodzielnie karty SIM umieszczonej w Teleopasce. Usunięcie karty SIM z opaski pozbawia ją możliwości kontaktu z Centrum Teleopieki i w takim przypadku usługa Teleopieki objęta niniejszą umową nie będzie mogła być świadczona wyłącznie z winy użytkownika Teleopaski przez czas w jakim karta SIM nie znajduje się w Teleopasce. </w:t>
      </w:r>
      <w:r>
        <w:rPr>
          <w:rFonts w:ascii="Arial Narrow" w:hAnsi="Arial Narrow"/>
        </w:rPr>
        <w:t xml:space="preserve"> 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do pozostawienia oryginalnego paska Teleopaski, chyba, że Miasto udzieli w danym uzasadnionym przypadku pisemnej zgody na wymianę paska. W każdym innym przypadku wymiana paska będzie oznaczała nieuprawnioną ingerencję w Teleopaskę.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korzystania z Teleopaski w sposób zgodny z jej przeznaczeniem, rozsądny i racjonalny, w tym do stałego dbania o stan naładowania baterii, w przypadku rozładowania baterii w opasce, Miasto, Centrum Teleopieki ani inny podmiot nie ponoszą odpowiedzialności za brak możliwości udzielenia pomocy użytkownikowi Teleopaski,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niezwłocznego zgłaszania sytuacji braku sygnału telefonii komórkowej w miejscu przebywania użytkownika Teleopaski lub wystąpienia innych okoliczności mogących zakłócić korzystanie z niej. Zgłoszeń należy dokonywać na numer Centrum Teleopieki, dostępny przez całą dobę, każdego dnia, dołączony do instrukcji użytkowania Teleopaski.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niezwłocznego zgłaszania ewentualnych usterek/błędów Teleopaski lub jej osprzętu, ich uszkodzenia, zgubienia lub kradzieży itp., zgłoszeń należy dokonywać na numer Centrum Technicznego w terminach i godzinie wskazanych w Regulaminie.   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niewykorzystywania Teleopaski i/lub znajdującej się w niej karty SIM do wykonywania połączeń innych niż na numery Centrum Teleopieki ani do celów nie związanych z przedmiotem niniejszej umowy,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korzystania z Teleopaski wyłącznie na terenie Rzeczypospolitej Polskiej. Włączenie Teleopaski za granicą może skutkować naliczeniem opłaty z tytułu roamingu danych lub innymi kosztami zależnymi od zagranicznego operatora, koszty te ponosi wyłącznie użytkownik Teleopaski,</w:t>
      </w:r>
    </w:p>
    <w:p>
      <w:pPr>
        <w:pStyle w:val="ListParagraph"/>
        <w:numPr>
          <w:ilvl w:val="2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nie przekazywania Teleopaski (w tym karty SIM) lub/i dodatkowego osprzętu żadnym osobom trzecim, jak również nie wywożenia Teleopaski (w tym karty SIM) lub/i dodatkowego osprzętu poza terytorium Polski, </w:t>
      </w:r>
      <w:r>
        <w:rPr>
          <w:rFonts w:cs="Times New Roman" w:ascii="Arial Narrow" w:hAnsi="Arial Narrow"/>
          <w:color w:val="000000" w:themeColor="text1"/>
        </w:rPr>
        <w:t>Odbiorca akceptuje, że w przypadku stwierdzenia naruszenia przez Odbiorcę tego obowiązku, Odbiorca może zostać wykluczony z udziału w Programie z jego wyłącznej winy i w takim przypadku Odbiorcy nie przysługują żadne roszczenia wobec  podmiotów realizujących Program.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/>
      </w:pPr>
      <w:r>
        <w:rPr/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 xml:space="preserve">Odbiorca przyjmuje do wiadomości i akceptuje, że </w:t>
      </w:r>
      <w:r>
        <w:rPr>
          <w:rFonts w:eastAsia="Times New Roman" w:ascii="Arial Narrow" w:hAnsi="Arial Narrow"/>
          <w:b/>
        </w:rPr>
        <w:t xml:space="preserve">pomiary dokonywane na Teleopasce mają charakter pomocniczy i poglądowy, i nie zastępują pomiarów wykonywanych przez specjalistyczne urządzenia pomiarowe, a celem wykonywania pomiarów na Teleopasce jest wyłącznie wykrycie wskazań do wykonania badania kontrolnego na innym urządzeniu medycznym w szczególności w placówce medycznej.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Odbiorca przyjmuje do wiadomości, że świadczenie na jego rzecz usług Teleopieki w ramach Programu, odbywa się wyłącznie na obszarze Miasta, na terenie której zamieszkuje.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Odbiorca akceptuje, iż z przyczyn technicznych mogą występować przerwy w świadczeniu usług Teleopieki.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Miasto ani żadne podmioty działające we współpracy z Miastem w celu realizacji usługi Teleopieki a także podmioty biorące udział w realizacji Programu nie ponoszą odpowiedzialności za uszkodzenia lub uszczerbek na zdrowiu wynikające z użytkowania Teleopaski, a w szczególności wynikające z nieprawidłowego jej użytkowania.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Miasto ani żadne podmioty działające we współpracy z Miastem w celu realizacji usługi Teleopieki a także podmioty biorące udział w realizacji Programu nie ponoszą odpowiedzialności oraz nie pokrywają kosztu z tytułu nieuzasadnionego wezwania służb medycznych jeśli nastąpiło ono na wniosek Odbiorcy.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Odbiorca przyjmuje do wiadomości, że w celu zapewnienia najwyższych standardów obsługi rozmowy z Centrum Teleopieki  są nagrywane i wyraża na to zgodę. 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hanging="357"/>
        <w:contextualSpacing/>
        <w:jc w:val="center"/>
        <w:rPr>
          <w:rFonts w:ascii="Arial Narrow" w:hAnsi="Arial Narrow" w:cs="Times New Roman"/>
          <w:b/>
          <w:b/>
          <w:bCs/>
          <w:color w:val="000000" w:themeColor="text1"/>
        </w:rPr>
      </w:pPr>
      <w:r>
        <w:rPr>
          <w:rFonts w:cs="Times New Roman" w:ascii="Arial Narrow" w:hAnsi="Arial Narrow"/>
          <w:b/>
          <w:bCs/>
          <w:color w:val="000000" w:themeColor="text1"/>
        </w:rPr>
        <w:t>Wypowiedzenie umowy. Wygaśnięcie umowy</w:t>
      </w:r>
    </w:p>
    <w:p>
      <w:pPr>
        <w:pStyle w:val="ListParagraph"/>
        <w:spacing w:lineRule="auto" w:line="240" w:before="0" w:after="0"/>
        <w:ind w:left="357" w:hanging="0"/>
        <w:contextualSpacing/>
        <w:rPr>
          <w:rFonts w:ascii="Arial Narrow" w:hAnsi="Arial Narrow" w:cs="Times New Roman"/>
          <w:b/>
          <w:b/>
          <w:bCs/>
          <w:color w:val="000000" w:themeColor="text1"/>
        </w:rPr>
      </w:pPr>
      <w:r>
        <w:rPr>
          <w:rFonts w:cs="Times New Roman" w:ascii="Arial Narrow" w:hAnsi="Arial Narrow"/>
          <w:b/>
          <w:bCs/>
          <w:color w:val="000000" w:themeColor="text1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Umowa zostaje zawarta na czas określony od dnia jej podpisania przez obie Strony do dnia 31.12.2022 roku.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Umowa może zostać wypowiedziana przez Miasto w trybie natychmiastowym z ważnych powodów, w tym w szczególności w przypadku: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wystąpienia przyczyn uniemożliwiających świadczenie usług teleopiekuńczych na rzecz Odbiorcy, w szczególności przyczyn technicznych;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naruszenia przez Odbiorcę postanowień niniejszej Umowy lub postanowień innych dokumentów obowiązujących w  ramach Programu;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zaprzestania realizacji Programu lub dokonania w nim zmian uniemożliwiających dalsze świadczenie usług Teleopieki;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nieusprawiedliwionego zaprzestania korzystania ze wsparcia przez okres dłuższy niż tydzień, rozumianego jako pozostawienie nieaktywnej Teleopaski wskutek braku jej ładowania lub wskutek pozbawienia jej karty SIM;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  <w:shd w:fill="auto" w:val="clear"/>
        </w:rPr>
        <w:t xml:space="preserve">wielokrotnego </w:t>
      </w:r>
      <w:r>
        <w:rPr>
          <w:rFonts w:cs="Times New Roman" w:ascii="Arial Narrow" w:hAnsi="Arial Narrow"/>
          <w:color w:val="000000" w:themeColor="text1"/>
        </w:rPr>
        <w:t>nieuzasadnionego wykorzystania przycisku SOS w Teleopasce (tzn. w przypadku, gdy nie wystąpiła sytuacja zagrożenia życia lub zdrowia);</w:t>
      </w:r>
    </w:p>
    <w:p>
      <w:pPr>
        <w:pStyle w:val="ListParagraph"/>
        <w:numPr>
          <w:ilvl w:val="2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trwałego uszkodzenia Teleopaski z winy Odbiorcy, w tym uszkodzenia karty SIM lub dodatkowego osprzętu.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Umowa może zostać rozwiązania w każdej chwili za pisemnym porozumieniem stron.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Umowa wygasa ze skutkiem natychmiastowym w wyniku zgonu Odbiorcy.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Odbiorca ma prawo do rozwiązania umowy w każdym momencie. Rozwiązanie umowy przez Odbiorcę wymaga złożenia do Miasta pisemnego oświadczenia w tym zakresie i następuje z dniem jego doręczenia </w:t>
      </w:r>
      <w:r>
        <w:rPr>
          <w:rFonts w:cs="Times New Roman" w:ascii="Arial Narrow" w:hAnsi="Arial Narrow"/>
          <w:color w:val="000000" w:themeColor="text1"/>
          <w:shd w:fill="auto" w:val="clear"/>
        </w:rPr>
        <w:t xml:space="preserve">do Miasta.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426"/>
        <w:contextualSpacing/>
        <w:jc w:val="both"/>
        <w:rPr>
          <w:color w:themeColor="text1"/>
          <w:shd w:fill="auto" w:val="clear"/>
        </w:rPr>
      </w:pPr>
      <w:r>
        <w:rPr>
          <w:rFonts w:cs="Times New Roman" w:ascii="Arial Narrow" w:hAnsi="Arial Narrow"/>
          <w:color w:val="000000" w:themeColor="text1"/>
          <w:shd w:fill="auto" w:val="clear"/>
        </w:rPr>
        <w:t>W przypadku rozwiązania Umowy lub upływu okresu jej wypowiedzenia, Odbiorca zobowiązuje się zwrócić powierzoną mu Teleopaskę w terminie do 14 dni od zakończenia. Zwrot Teleopaski następuje do siedziby Miasta – MOPS Kalisz.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Dokonanie zwrotu Teleopaski zostanie stwierdzone w Protokole zdawczo-odbiorczym.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858" w:hanging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357" w:hanging="357"/>
        <w:contextualSpacing/>
        <w:jc w:val="center"/>
        <w:rPr>
          <w:rFonts w:ascii="Arial Narrow" w:hAnsi="Arial Narrow" w:cs="Times New Roman"/>
          <w:b/>
          <w:b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  <w:t>Postanowienia końcowe</w:t>
      </w:r>
    </w:p>
    <w:p>
      <w:pPr>
        <w:pStyle w:val="ListParagraph"/>
        <w:spacing w:lineRule="auto" w:line="240" w:before="0" w:after="0"/>
        <w:ind w:left="357" w:hanging="0"/>
        <w:contextualSpacing/>
        <w:rPr>
          <w:rFonts w:ascii="Arial Narrow" w:hAnsi="Arial Narrow" w:cs="Times New Roman"/>
          <w:b/>
          <w:b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vanish/>
          <w:color w:val="000000" w:themeColor="text1"/>
        </w:rPr>
      </w:pPr>
      <w:r>
        <w:rPr>
          <w:rFonts w:cs="Times New Roman" w:ascii="Arial Narrow" w:hAnsi="Arial Narrow"/>
          <w:vanish/>
          <w:color w:val="000000" w:themeColor="text1"/>
        </w:rPr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Postanowienia niniejszej umowy podlegają prawu polskiemu.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W sprawach nieuregulowanych umową zastosowanie mają zapisy Regulaminu. Odbiorca oświadcza, że zapoznał się z treścią Regulaminu, rozumie je i akceptuje. 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Wszelkie spory między Miastem a Odbiorcą związane z realizacją niniejszej umowy podlegają rozstrzygnięciu przez sąd właściwy dla siedziby Miasta – MOPS Kalisz.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Odbiorca nie ma prawa przenoszenia praw ani obowiązków wynikających z niniejszej umowy na jakikolwiek podmiot trzeci. Nie wyłącza to uprawnień Opiekuna faktycznego działającego w imieniu Odbiorcy wsparcia w zakresie wskazanym w Regulaminie Programu.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W sprawach nieuregulowanych w niniejszej umowie, znajdują zastosowanie postanowienia Regulaminu rekrutacji i udziału w Programie.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Odbiorca oraz Opiekun faktyczny (fakultatywnie) oświadczają, że zapoznali się z zawartą w Regulaminie rekrutacji i udziału w Programie klauzulą informacyjną dotyczącą zakresu i celu przetwarzania podanych przez nich danych osobowych w Programie, rozumieją ją, wyrażają zgodę na jej postanowienia i nie wnoszą w tym zakresie uwag. 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Umowę sporządzono w języku polskim, w dwóch jednobrzmiących egzemplarzach po jednym dla każdej ze stron.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426" w:hanging="426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Umowa wchodzi w życie z dniem jej podpisania.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  <w:i/>
          <w:i/>
        </w:rPr>
      </w:pPr>
      <w:r>
        <w:rPr>
          <w:rFonts w:cs="Times New Roman" w:ascii="Arial Narrow" w:hAnsi="Arial Narrow"/>
          <w:b/>
          <w:i/>
        </w:rPr>
        <w:t xml:space="preserve">W imieniu </w:t>
      </w:r>
      <w:r>
        <w:rPr>
          <w:rFonts w:cs="Times New Roman" w:ascii="Arial Narrow" w:hAnsi="Arial Narrow"/>
          <w:b/>
          <w:i/>
        </w:rPr>
        <w:t>Miasta</w:t>
      </w:r>
      <w:r>
        <w:rPr>
          <w:rFonts w:cs="Times New Roman" w:ascii="Arial Narrow" w:hAnsi="Arial Narrow"/>
          <w:b/>
          <w:i/>
        </w:rPr>
        <w:t xml:space="preserve">: </w:t>
        <w:tab/>
        <w:tab/>
        <w:tab/>
        <w:tab/>
        <w:t>Odbiorca wsparcia: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  <w:i/>
          <w:i/>
        </w:rPr>
      </w:pPr>
      <w:r>
        <w:rPr>
          <w:rFonts w:cs="Times New Roman" w:ascii="Arial Narrow" w:hAnsi="Arial Narrow"/>
          <w:b/>
          <w:i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  <w:i/>
          <w:i/>
        </w:rPr>
      </w:pPr>
      <w:r>
        <w:rPr>
          <w:rFonts w:cs="Times New Roman" w:ascii="Arial Narrow" w:hAnsi="Arial Narrow"/>
          <w:b/>
          <w:i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  <w:i/>
          <w:i/>
        </w:rPr>
      </w:pPr>
      <w:r>
        <w:rPr>
          <w:rFonts w:cs="Times New Roman" w:ascii="Arial Narrow" w:hAnsi="Arial Narrow"/>
          <w:b/>
          <w:i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  <w:i/>
          <w:i/>
          <w:color w:val="000000" w:themeColor="text1"/>
        </w:rPr>
      </w:pPr>
      <w:r>
        <w:rPr>
          <w:rFonts w:cs="Times New Roman" w:ascii="Arial Narrow" w:hAnsi="Arial Narrow"/>
          <w:b/>
          <w:i/>
        </w:rPr>
        <w:t xml:space="preserve">…………………………………………………   </w:t>
      </w:r>
      <w:r>
        <w:rPr>
          <w:rFonts w:cs="Times New Roman" w:ascii="Arial Narrow" w:hAnsi="Arial Narrow"/>
          <w:b/>
          <w:i/>
        </w:rPr>
        <w:tab/>
        <w:t xml:space="preserve">………………………………………………… </w:t>
        <w:tab/>
        <w:tab/>
        <w:tab/>
        <w:tab/>
        <w:tab/>
        <w:tab/>
        <w:tab/>
        <w:tab/>
      </w:r>
      <w:r>
        <w:rPr>
          <w:rFonts w:cs="Times New Roman" w:ascii="Arial Narrow" w:hAnsi="Arial Narrow"/>
          <w:b/>
          <w:i/>
          <w:color w:val="000000" w:themeColor="text1"/>
        </w:rPr>
        <w:t xml:space="preserve">           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  <w:i/>
          <w:i/>
        </w:rPr>
      </w:pPr>
      <w:r>
        <w:rPr>
          <w:rFonts w:cs="Times New Roman" w:ascii="Arial Narrow" w:hAnsi="Arial Narrow"/>
          <w:b/>
          <w:i/>
        </w:rPr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Arial Narrow" w:hAnsi="Arial Narrow" w:cs="Times New Roman"/>
          <w:b/>
          <w:b/>
          <w:i/>
          <w:i/>
          <w:color w:val="000000" w:themeColor="text1"/>
        </w:rPr>
      </w:pPr>
      <w:r>
        <w:rPr>
          <w:rFonts w:cs="Times New Roman" w:ascii="Arial Narrow" w:hAnsi="Arial Narrow"/>
          <w:b/>
          <w:i/>
          <w:color w:val="000000" w:themeColor="text1"/>
        </w:rPr>
        <w:t xml:space="preserve">Opiekun faktyczny(fakultatywnie)   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Arial Narrow" w:hAnsi="Arial Narrow" w:cs="Times New Roman"/>
          <w:b/>
          <w:b/>
          <w:i/>
          <w:i/>
          <w:color w:val="000000" w:themeColor="text1"/>
        </w:rPr>
      </w:pPr>
      <w:r>
        <w:rPr>
          <w:rFonts w:cs="Times New Roman" w:ascii="Arial Narrow" w:hAnsi="Arial Narrow"/>
          <w:b/>
          <w:i/>
          <w:color w:val="000000" w:themeColor="text1"/>
        </w:rPr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Arial Narrow" w:hAnsi="Arial Narrow" w:cs="Times New Roman"/>
          <w:b/>
          <w:b/>
          <w:i/>
          <w:i/>
          <w:color w:val="000000" w:themeColor="text1"/>
        </w:rPr>
      </w:pPr>
      <w:r>
        <w:rPr>
          <w:rFonts w:cs="Times New Roman" w:ascii="Arial Narrow" w:hAnsi="Arial Narrow"/>
          <w:b/>
          <w:i/>
          <w:color w:val="000000" w:themeColor="text1"/>
        </w:rPr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Arial Narrow" w:hAnsi="Arial Narrow" w:cs="Times New Roman"/>
          <w:b/>
          <w:b/>
          <w:i/>
          <w:i/>
          <w:color w:val="000000" w:themeColor="text1"/>
        </w:rPr>
      </w:pPr>
      <w:r>
        <w:rPr>
          <w:rFonts w:cs="Times New Roman" w:ascii="Arial Narrow" w:hAnsi="Arial Narrow"/>
          <w:b/>
          <w:i/>
          <w:color w:val="000000" w:themeColor="text1"/>
        </w:rPr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Arial Narrow" w:hAnsi="Arial Narrow" w:cs="Times New Roman"/>
          <w:b/>
          <w:b/>
          <w:i/>
          <w:i/>
          <w:color w:val="000000" w:themeColor="text1"/>
        </w:rPr>
      </w:pPr>
      <w:r>
        <w:rPr>
          <w:rFonts w:cs="Times New Roman" w:ascii="Arial Narrow" w:hAnsi="Arial Narrow"/>
          <w:b/>
          <w:i/>
        </w:rPr>
        <w:t xml:space="preserve">…………………………………………………   </w:t>
      </w:r>
      <w:r>
        <w:rPr>
          <w:rFonts w:cs="Times New Roman" w:ascii="Arial Narrow" w:hAnsi="Arial Narrow"/>
          <w:b/>
          <w:i/>
          <w:color w:val="000000" w:themeColor="text1"/>
        </w:rPr>
        <w:t xml:space="preserve">       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7201625"/>
    </w:sdtPr>
    <w:sdtContent>
      <w:p>
        <w:pPr>
          <w:pStyle w:val="Stopka"/>
          <w:pBdr>
            <w:top w:val="single" w:sz="4" w:space="1" w:color="D9D9D9"/>
          </w:pBdr>
          <w:jc w:val="right"/>
          <w:rPr>
            <w:rFonts w:ascii="Times New Roman" w:hAnsi="Times New Roman" w:cs="Times New Roman"/>
            <w:b/>
            <w:b/>
            <w:bCs/>
            <w:sz w:val="20"/>
            <w:szCs w:val="20"/>
          </w:rPr>
        </w:pPr>
        <w:r>
          <w:rPr>
            <w:rFonts w:cs="Times New Roman" w:ascii="Times New Roman" w:hAnsi="Times New Roman"/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rFonts w:cs="Times New Roman" w:ascii="Times New Roman" w:hAnsi="Times New Roman"/>
          </w:rPr>
          <w:instrText> PAGE </w:instrText>
        </w:r>
        <w:r>
          <w:rPr>
            <w:sz w:val="20"/>
            <w:b/>
            <w:szCs w:val="20"/>
            <w:bCs/>
            <w:rFonts w:cs="Times New Roman" w:ascii="Times New Roman" w:hAnsi="Times New Roman"/>
          </w:rPr>
          <w:fldChar w:fldCharType="separate"/>
        </w:r>
        <w:r>
          <w:rPr>
            <w:sz w:val="20"/>
            <w:b/>
            <w:szCs w:val="20"/>
            <w:bCs/>
            <w:rFonts w:cs="Times New Roman" w:ascii="Times New Roman" w:hAnsi="Times New Roman"/>
          </w:rPr>
          <w:t>3</w:t>
        </w:r>
        <w:r>
          <w:rPr>
            <w:sz w:val="20"/>
            <w:b/>
            <w:szCs w:val="20"/>
            <w:bCs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b/>
            <w:bCs/>
            <w:sz w:val="20"/>
            <w:szCs w:val="20"/>
          </w:rPr>
          <w:t xml:space="preserve"> </w:t>
        </w:r>
        <w:r>
          <w:rPr>
            <w:rFonts w:cs="Times New Roman" w:ascii="Times New Roman" w:hAnsi="Times New Roman"/>
            <w:b/>
            <w:bCs/>
            <w:sz w:val="20"/>
            <w:szCs w:val="20"/>
          </w:rPr>
          <w:t xml:space="preserve">| </w:t>
        </w:r>
        <w:r>
          <w:rPr>
            <w:rFonts w:cs="Times New Roman" w:ascii="Times New Roman" w:hAnsi="Times New Roman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§%1."/>
      <w:lvlJc w:val="left"/>
      <w:pPr>
        <w:tabs>
          <w:tab w:val="num" w:pos="0"/>
        </w:tabs>
        <w:ind w:left="2912" w:hanging="360"/>
      </w:pPr>
      <w:rPr>
        <w:b/>
        <w:bCs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d4d4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d4d4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10c23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942c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7942c5"/>
    <w:rPr>
      <w:sz w:val="20"/>
      <w:szCs w:val="20"/>
    </w:rPr>
  </w:style>
  <w:style w:type="character" w:styleId="AkapitzlistZnak" w:customStyle="1">
    <w:name w:val="Akapit z listą Znak"/>
    <w:link w:val="Akapitzlist"/>
    <w:uiPriority w:val="34"/>
    <w:qFormat/>
    <w:locked/>
    <w:rsid w:val="007942c5"/>
    <w:rPr/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046e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d4948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d4d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d4d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10c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c04abc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7942c5"/>
    <w:pPr>
      <w:spacing w:lineRule="auto" w:line="240" w:before="120" w:after="120"/>
      <w:ind w:left="357" w:hanging="357"/>
      <w:jc w:val="center"/>
    </w:pPr>
    <w:rPr>
      <w:sz w:val="20"/>
      <w:szCs w:val="20"/>
    </w:rPr>
  </w:style>
  <w:style w:type="paragraph" w:styleId="Default" w:customStyle="1">
    <w:name w:val="Default"/>
    <w:qFormat/>
    <w:rsid w:val="007942c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046e5"/>
    <w:pPr>
      <w:spacing w:before="0" w:after="160"/>
      <w:ind w:left="0" w:hanging="0"/>
      <w:jc w:val="left"/>
    </w:pPr>
    <w:rPr>
      <w:b/>
      <w:bCs/>
    </w:rPr>
  </w:style>
  <w:style w:type="paragraph" w:styleId="Articlebodyblock" w:customStyle="1">
    <w:name w:val="articlebodyblock"/>
    <w:basedOn w:val="Normal"/>
    <w:qFormat/>
    <w:rsid w:val="00433f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FE72-A71D-473D-BD02-01A39D00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LibreOffice/7.0.4.2$Windows_X86_64 LibreOffice_project/dcf040e67528d9187c66b2379df5ea4407429775</Application>
  <AppVersion>15.0000</AppVersion>
  <Pages>3</Pages>
  <Words>1407</Words>
  <Characters>9358</Characters>
  <CharactersWithSpaces>10740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2022-04-15T09:43:00Z</dcterms:created>
  <dc:creator>Katarzyna Tądel</dc:creator>
  <dc:description/>
  <dc:language>pl-PL</dc:language>
  <cp:lastModifiedBy/>
  <cp:lastPrinted>2022-06-01T10:32:35Z</cp:lastPrinted>
  <dcterms:modified xsi:type="dcterms:W3CDTF">2022-06-01T10:39:27Z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